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71C75">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571C75"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w:t>
      </w:r>
      <w:r w:rsidR="00571C75">
        <w:rPr>
          <w:rFonts w:eastAsia="Times New Roman" w:cs="Times New Roman"/>
          <w:b/>
          <w:sz w:val="24"/>
          <w:szCs w:val="24"/>
          <w:highlight w:val="yellow"/>
        </w:rPr>
        <w:t xml:space="preserve">relatif à </w:t>
      </w:r>
      <w:r w:rsidR="00571C75">
        <w:rPr>
          <w:rFonts w:eastAsia="Times New Roman" w:cs="Times New Roman"/>
          <w:b/>
          <w:sz w:val="24"/>
          <w:szCs w:val="24"/>
          <w:highlight w:val="yellow"/>
        </w:rPr>
        <w:t>_______________</w:t>
      </w:r>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proofErr w:type="gramStart"/>
      <w:r w:rsidR="00571C75">
        <w:rPr>
          <w:rFonts w:eastAsia="Times New Roman" w:cs="Times New Roman"/>
          <w:b/>
          <w:sz w:val="24"/>
          <w:szCs w:val="24"/>
          <w:highlight w:val="yellow"/>
        </w:rPr>
        <w:t xml:space="preserve">: </w:t>
      </w:r>
      <w:r>
        <w:rPr>
          <w:rFonts w:eastAsia="Times New Roman" w:cs="Times New Roman"/>
          <w:b/>
          <w:sz w:val="24"/>
          <w:szCs w:val="24"/>
          <w:highlight w:val="yellow"/>
        </w:rPr>
        <w:t xml:space="preserve"> </w:t>
      </w:r>
      <w:r>
        <w:rPr>
          <w:rFonts w:eastAsia="Times New Roman" w:cs="Times New Roman"/>
          <w:b/>
          <w:sz w:val="16"/>
          <w:szCs w:val="16"/>
          <w:highlight w:val="yellow"/>
        </w:rPr>
        <w:t>(</w:t>
      </w:r>
      <w:proofErr w:type="gramEnd"/>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0" w:name="_bookmark0"/>
      <w:bookmarkEnd w:id="0"/>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bookmarkStart w:id="1" w:name="_GoBack"/>
      <w:bookmarkEnd w:id="1"/>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 xml:space="preserve">et numéro d’enregistrement au registre du commerce, au répertoire des métiers ou auprès d’un centre de </w:t>
      </w:r>
      <w:r>
        <w:rPr>
          <w:sz w:val="20"/>
        </w:rPr>
        <w:lastRenderedPageBreak/>
        <w:t>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1C75">
        <w:rPr>
          <w:rFonts w:cs="Arial"/>
          <w:sz w:val="20"/>
          <w:szCs w:val="20"/>
        </w:rPr>
      </w:r>
      <w:r w:rsidR="00571C7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1C75">
        <w:rPr>
          <w:rFonts w:cs="Arial"/>
          <w:sz w:val="20"/>
          <w:szCs w:val="20"/>
        </w:rPr>
      </w:r>
      <w:r w:rsidR="00571C7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71C75">
        <w:rPr>
          <w:rFonts w:cs="Arial"/>
          <w:sz w:val="20"/>
          <w:szCs w:val="20"/>
        </w:rPr>
      </w:r>
      <w:r w:rsidR="00571C7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571C75">
          <w:rPr>
            <w:noProof/>
            <w:sz w:val="18"/>
            <w:szCs w:val="18"/>
          </w:rPr>
          <w:t>4</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71C75"/>
    <w:rsid w:val="005D1A1C"/>
    <w:rsid w:val="00650CC2"/>
    <w:rsid w:val="006E59B1"/>
    <w:rsid w:val="008938BD"/>
    <w:rsid w:val="0091267C"/>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AD93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00C22-FBE9-4CE3-ADE9-48D1BB8A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3767</Words>
  <Characters>20720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DASPREMONT Marie ATTACHE MINDEF</cp:lastModifiedBy>
  <cp:revision>18</cp:revision>
  <dcterms:created xsi:type="dcterms:W3CDTF">2024-01-09T09:15:00Z</dcterms:created>
  <dcterms:modified xsi:type="dcterms:W3CDTF">2025-06-17T13:05:00Z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